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26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25" w:afterAutospacing="0" w:line="540" w:lineRule="atLeast"/>
        <w:ind w:left="0"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olor w:val="0054A6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</w:rPr>
        <w:t>金烨钢铁集团特钢有限公司202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</w:rPr>
        <w:t>年危险废物基本情况</w:t>
      </w:r>
    </w:p>
    <w:p w14:paraId="14E6B2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公司名称：金烨钢铁集团特钢有限公司</w:t>
      </w:r>
    </w:p>
    <w:p w14:paraId="491EE5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公司基本情况：公司位于山西省长治市壶关县常平经济开发区闫家河村，主要生产设备包括两条90m/s高速线材生产线，主要产品是线材。</w:t>
      </w:r>
    </w:p>
    <w:p w14:paraId="544DFB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危废暂存间建设情况：产区内建设有两间危废暂存间，占地面积共35.2㎡。暂存间按照《危险废物贮存污染控制标准》、《危险废物收集、贮存、运输技术规范》相关要求进行场地改造，场地进行防渗处理，地面和收集池采用水泥基础防渗+2.5mm环氧树脂，设置围堰、导流槽、收集池。暂存间外部悬挂标识标牌。</w:t>
      </w:r>
    </w:p>
    <w:p w14:paraId="5B3147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年危废产生情况：废矿物油产生4.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8吨，废油桶产生0.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48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吨。</w:t>
      </w:r>
    </w:p>
    <w:p w14:paraId="5FB497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年危废处置情况：202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年5月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日废矿物油交由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山西源凯祥科技有限公司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处置。202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日废矿物油桶交由山西金峰潞源环境科技有限公司处置。</w:t>
      </w:r>
    </w:p>
    <w:p w14:paraId="33D85784"/>
    <w:p w14:paraId="17E0A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3CE5"/>
    <w:rsid w:val="10E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358</Characters>
  <Lines>0</Lines>
  <Paragraphs>0</Paragraphs>
  <TotalTime>0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2026-01-19T23:58:00Z</dcterms:created>
  <dc:creator>Administrator</dc:creator>
  <cp:lastModifiedBy>默默无言</cp:lastModifiedBy>
  <dcterms:modified xsi:type="dcterms:W3CDTF">2026-01-20T00:00:39Z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eyJoZGlkIjoiNGMwMjAwOTE1YTJmZTBkMGM4NTFhNzM3ZjIzMGRjZTIiLCJ1c2VySWQiOiIyNzI3NTIyNDkifQ==</vt:lpwstr>
  </property>
  <property fmtid="{D5CDD505-2E9C-101B-9397-08002B2CF9AE}" pid="4" name="ICV">
    <vt:lpwstr>273B1FF0A22C4350A53583EFAC245BCD_13</vt:lpwstr>
  </property>
</Properties>
</file>