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清洁生产公示材料</w:t>
      </w:r>
    </w:p>
    <w:p>
      <w:pPr>
        <w:pStyle w:val="7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企业名称、规模</w:t>
      </w:r>
    </w:p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金烨钢铁集团铸造有限公司：占地面积约397600㎡</w:t>
      </w:r>
    </w:p>
    <w:p>
      <w:pPr>
        <w:pStyle w:val="7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法人代表、企业注册地址和生产地址</w:t>
      </w:r>
    </w:p>
    <w:p>
      <w:pPr>
        <w:pStyle w:val="7"/>
        <w:numPr>
          <w:numId w:val="0"/>
        </w:numPr>
        <w:ind w:left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法人代表：韩卫国</w:t>
      </w:r>
    </w:p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企业注册地址：壶关县经济开发区王家河村</w:t>
      </w:r>
    </w:p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生产地址：壶关县经济开发区王家河村</w:t>
      </w:r>
    </w:p>
    <w:p>
      <w:pPr>
        <w:pStyle w:val="7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主要产品名称及产能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产能（万t/a）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烧结矿</w:t>
            </w:r>
          </w:p>
        </w:tc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铁水</w:t>
            </w:r>
          </w:p>
        </w:tc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</w:tr>
    </w:tbl>
    <w:p>
      <w:pPr>
        <w:pStyle w:val="7"/>
        <w:numPr>
          <w:ilvl w:val="0"/>
          <w:numId w:val="1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主要污染物</w:t>
      </w:r>
    </w:p>
    <w:tbl>
      <w:tblPr>
        <w:tblStyle w:val="8"/>
        <w:tblW w:w="101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155"/>
        <w:gridCol w:w="1545"/>
        <w:gridCol w:w="1545"/>
        <w:gridCol w:w="1545"/>
        <w:gridCol w:w="1545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eastAsia="仿宋" w:cs="Times New Roman"/>
                <w:b/>
                <w:bCs/>
                <w:color w:val="000000"/>
                <w:sz w:val="21"/>
              </w:rPr>
              <w:t>污染源名称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污染物名称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排放方式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排放浓度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eastAsia="仿宋" w:cs="Times New Roman"/>
                <w:b/>
                <w:bCs/>
                <w:color w:val="000000"/>
                <w:sz w:val="21"/>
              </w:rPr>
              <w:t>标准限值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排放总量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达标情况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sz w:val="21"/>
              </w:rPr>
            </w:pPr>
            <w:r>
              <w:rPr>
                <w:rFonts w:eastAsia="仿宋" w:cs="Times New Roman"/>
                <w:color w:val="000000"/>
                <w:sz w:val="21"/>
              </w:rPr>
              <w:t>烧结机头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颗粒物</w:t>
            </w:r>
          </w:p>
        </w:tc>
        <w:tc>
          <w:tcPr>
            <w:tcW w:w="154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  <w:t>大气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1.47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1</w:t>
            </w:r>
            <w:r>
              <w:rPr>
                <w:rFonts w:eastAsia="仿宋" w:cs="Times New Roman"/>
                <w:color w:val="000000"/>
                <w:sz w:val="21"/>
              </w:rPr>
              <w:t>0mg/m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7.280t/a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sz w:val="21"/>
              </w:rPr>
            </w:pP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二氧化硫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firstLine="442" w:firstLineChars="200"/>
              <w:jc w:val="center"/>
              <w:textAlignment w:val="auto"/>
              <w:rPr>
                <w:rFonts w:hint="eastAsia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17.25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35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85.236t/a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000000"/>
                <w:sz w:val="21"/>
              </w:rPr>
            </w:pP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氮氧化物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firstLine="442" w:firstLineChars="200"/>
              <w:jc w:val="center"/>
              <w:textAlignment w:val="auto"/>
              <w:rPr>
                <w:rFonts w:hint="eastAsia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20.38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50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99.919t/a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烧结机尾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2.6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1</w:t>
            </w:r>
            <w:r>
              <w:rPr>
                <w:rFonts w:eastAsia="仿宋" w:cs="Times New Roman"/>
                <w:color w:val="000000"/>
                <w:sz w:val="21"/>
              </w:rPr>
              <w:t>0mg/m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9.97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1#</w:t>
            </w: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矿槽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sz w:val="21"/>
              </w:rPr>
            </w:pPr>
            <w:r>
              <w:rPr>
                <w:rFonts w:eastAsia="仿宋" w:cs="Times New Roman"/>
                <w:sz w:val="21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sz w:val="21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1.97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sz w:val="21"/>
              </w:rPr>
            </w:pPr>
            <w:r>
              <w:rPr>
                <w:rFonts w:hint="eastAsia" w:eastAsia="仿宋" w:cs="Times New Roman"/>
                <w:sz w:val="21"/>
              </w:rPr>
              <w:t>1</w:t>
            </w:r>
            <w:r>
              <w:rPr>
                <w:rFonts w:eastAsia="仿宋" w:cs="Times New Roman"/>
                <w:sz w:val="21"/>
              </w:rPr>
              <w:t>0mg/m</w:t>
            </w:r>
            <w:r>
              <w:rPr>
                <w:rFonts w:eastAsia="仿宋" w:cs="Times New Roman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2.52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1#</w:t>
            </w: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出铁场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sz w:val="21"/>
              </w:rPr>
            </w:pPr>
            <w:r>
              <w:rPr>
                <w:rFonts w:eastAsia="仿宋" w:cs="Times New Roman"/>
                <w:sz w:val="21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sz w:val="21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1.79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sz w:val="21"/>
              </w:rPr>
            </w:pPr>
            <w:r>
              <w:rPr>
                <w:rFonts w:hint="eastAsia" w:eastAsia="仿宋" w:cs="Times New Roman"/>
                <w:sz w:val="21"/>
              </w:rPr>
              <w:t>1</w:t>
            </w:r>
            <w:r>
              <w:rPr>
                <w:rFonts w:eastAsia="仿宋" w:cs="Times New Roman"/>
                <w:sz w:val="21"/>
              </w:rPr>
              <w:t>0mg/m</w:t>
            </w:r>
            <w:r>
              <w:rPr>
                <w:rFonts w:eastAsia="仿宋" w:cs="Times New Roman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3.03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2#</w:t>
            </w: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矿槽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 w:cs="Times New Roman"/>
                <w:sz w:val="21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sz w:val="21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2.36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1"/>
              </w:rPr>
              <w:t>1</w:t>
            </w:r>
            <w:r>
              <w:rPr>
                <w:rFonts w:eastAsia="仿宋" w:cs="Times New Roman"/>
                <w:sz w:val="21"/>
              </w:rPr>
              <w:t>0mg/m</w:t>
            </w:r>
            <w:r>
              <w:rPr>
                <w:rFonts w:eastAsia="仿宋" w:cs="Times New Roman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4.98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2#</w:t>
            </w: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出铁场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 w:cs="Times New Roman"/>
                <w:sz w:val="21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sz w:val="21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2.04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1"/>
              </w:rPr>
              <w:t>1</w:t>
            </w:r>
            <w:r>
              <w:rPr>
                <w:rFonts w:eastAsia="仿宋" w:cs="Times New Roman"/>
                <w:sz w:val="21"/>
              </w:rPr>
              <w:t>0mg/m</w:t>
            </w:r>
            <w:r>
              <w:rPr>
                <w:rFonts w:eastAsia="仿宋" w:cs="Times New Roman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3.26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</w:tbl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清洁生产公示材料</w:t>
      </w:r>
    </w:p>
    <w:p>
      <w:pPr>
        <w:pStyle w:val="7"/>
        <w:numPr>
          <w:numId w:val="0"/>
        </w:numPr>
        <w:ind w:left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1.企业名称、规模</w:t>
      </w:r>
    </w:p>
    <w:p>
      <w:pPr>
        <w:pStyle w:val="7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金烨钢铁集团有限公司：占地面积约210000㎡</w:t>
      </w:r>
    </w:p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2.法人代表、企业注册地址和生产地址</w:t>
      </w:r>
    </w:p>
    <w:p>
      <w:pPr>
        <w:pStyle w:val="7"/>
        <w:numPr>
          <w:ilvl w:val="0"/>
          <w:numId w:val="0"/>
        </w:numPr>
        <w:ind w:left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法人代表：韩卫国</w:t>
      </w:r>
    </w:p>
    <w:p>
      <w:pPr>
        <w:pStyle w:val="7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企业注册地址：壶关县经济开发区闫家河村</w:t>
      </w:r>
    </w:p>
    <w:p>
      <w:pPr>
        <w:pStyle w:val="7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生产地址：壶关县经济开发区闫家河村</w:t>
      </w:r>
      <w:bookmarkStart w:id="0" w:name="_GoBack"/>
      <w:bookmarkEnd w:id="0"/>
    </w:p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3.主要产品名称及产能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产能（万t/a）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钢坯</w:t>
            </w:r>
          </w:p>
        </w:tc>
        <w:tc>
          <w:tcPr>
            <w:tcW w:w="283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</w:tr>
    </w:tbl>
    <w:p>
      <w:pPr>
        <w:pStyle w:val="7"/>
        <w:numPr>
          <w:numId w:val="0"/>
        </w:numPr>
        <w:ind w:leftChars="400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4.主要污染物</w:t>
      </w:r>
    </w:p>
    <w:tbl>
      <w:tblPr>
        <w:tblStyle w:val="8"/>
        <w:tblW w:w="101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155"/>
        <w:gridCol w:w="1545"/>
        <w:gridCol w:w="1545"/>
        <w:gridCol w:w="1545"/>
        <w:gridCol w:w="1545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eastAsia="仿宋" w:cs="Times New Roman"/>
                <w:b/>
                <w:bCs/>
                <w:color w:val="000000"/>
                <w:sz w:val="21"/>
              </w:rPr>
              <w:t>污染源名称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污染物名称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排放方式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排放浓度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eastAsia="仿宋" w:cs="Times New Roman"/>
                <w:b/>
                <w:bCs/>
                <w:color w:val="000000"/>
                <w:sz w:val="21"/>
              </w:rPr>
              <w:t>标准限值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eastAsia="仿宋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排放总量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lang w:val="en-US" w:eastAsia="zh-CN"/>
              </w:rPr>
              <w:t>达标情况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转炉二次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颗粒物</w:t>
            </w:r>
          </w:p>
        </w:tc>
        <w:tc>
          <w:tcPr>
            <w:tcW w:w="154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  <w:t>大气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2.69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1</w:t>
            </w:r>
            <w:r>
              <w:rPr>
                <w:rFonts w:eastAsia="仿宋" w:cs="Times New Roman"/>
                <w:color w:val="000000"/>
                <w:sz w:val="21"/>
              </w:rPr>
              <w:t>0mg/m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3.292t/a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锅炉烟囱</w:t>
            </w: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颗粒物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1.84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  <w:t>1</w:t>
            </w:r>
            <w:r>
              <w:rPr>
                <w:rFonts w:eastAsia="仿宋" w:cs="Times New Roman"/>
                <w:color w:val="000000"/>
                <w:sz w:val="21"/>
              </w:rPr>
              <w:t>0mg/m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1.858t/a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1"/>
                <w:lang w:val="en-US" w:eastAsia="zh-CN"/>
              </w:rPr>
            </w:pP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二氧化硫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5.71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35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5.649t/a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3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1"/>
                <w:lang w:val="en-US" w:eastAsia="zh-CN"/>
              </w:rPr>
            </w:pPr>
          </w:p>
        </w:tc>
        <w:tc>
          <w:tcPr>
            <w:tcW w:w="11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氮氧化物</w:t>
            </w:r>
          </w:p>
        </w:tc>
        <w:tc>
          <w:tcPr>
            <w:tcW w:w="1545" w:type="dxa"/>
            <w:vMerge w:val="continue"/>
            <w:tcBorders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14.41</w:t>
            </w:r>
            <w:r>
              <w:rPr>
                <w:rFonts w:eastAsia="仿宋" w:cs="Times New Roman"/>
                <w:color w:val="000000"/>
                <w:sz w:val="21"/>
              </w:rPr>
              <w:t>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5</w:t>
            </w:r>
            <w:r>
              <w:rPr>
                <w:rFonts w:eastAsia="仿宋" w:cs="Times New Roman"/>
                <w:color w:val="000000"/>
                <w:sz w:val="21"/>
              </w:rPr>
              <w:t>0mg/m</w:t>
            </w:r>
            <w:r>
              <w:rPr>
                <w:rFonts w:eastAsia="仿宋" w:cs="Times New Roman"/>
                <w:color w:val="000000"/>
                <w:sz w:val="21"/>
                <w:vertAlign w:val="superscript"/>
              </w:rPr>
              <w:t>3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val="en-US" w:eastAsia="zh-CN"/>
              </w:rPr>
              <w:t>13.294t/a</w:t>
            </w:r>
          </w:p>
        </w:tc>
        <w:tc>
          <w:tcPr>
            <w:tcW w:w="15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达标</w:t>
            </w:r>
          </w:p>
        </w:tc>
      </w:tr>
    </w:tbl>
    <w:p>
      <w:pPr>
        <w:pStyle w:val="7"/>
        <w:numPr>
          <w:numId w:val="0"/>
        </w:numPr>
        <w:ind w:leftChars="400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A3A0"/>
    <w:multiLevelType w:val="singleLevel"/>
    <w:tmpl w:val="10BFA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2D3444"/>
    <w:rsid w:val="0B0F6CC2"/>
    <w:rsid w:val="11486883"/>
    <w:rsid w:val="1479753F"/>
    <w:rsid w:val="1A6A19D2"/>
    <w:rsid w:val="1B520321"/>
    <w:rsid w:val="1F436CFB"/>
    <w:rsid w:val="30904A83"/>
    <w:rsid w:val="336B68C8"/>
    <w:rsid w:val="363E07D7"/>
    <w:rsid w:val="38033968"/>
    <w:rsid w:val="3B840B80"/>
    <w:rsid w:val="3C2D59E9"/>
    <w:rsid w:val="3D632549"/>
    <w:rsid w:val="470278B5"/>
    <w:rsid w:val="48902A4F"/>
    <w:rsid w:val="4C3E3C8D"/>
    <w:rsid w:val="4F3D6BE7"/>
    <w:rsid w:val="50E40892"/>
    <w:rsid w:val="51484BB8"/>
    <w:rsid w:val="518B2584"/>
    <w:rsid w:val="548E6DC8"/>
    <w:rsid w:val="6118198E"/>
    <w:rsid w:val="613D68B2"/>
    <w:rsid w:val="614D5F67"/>
    <w:rsid w:val="62246DD8"/>
    <w:rsid w:val="62E733B0"/>
    <w:rsid w:val="641A4E60"/>
    <w:rsid w:val="6AF744FF"/>
    <w:rsid w:val="6BA66C93"/>
    <w:rsid w:val="6C096390"/>
    <w:rsid w:val="6CCF2B78"/>
    <w:rsid w:val="723147CD"/>
    <w:rsid w:val="72AD3166"/>
    <w:rsid w:val="73032D18"/>
    <w:rsid w:val="7691652D"/>
    <w:rsid w:val="78085590"/>
    <w:rsid w:val="793B5C3E"/>
    <w:rsid w:val="7961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left"/>
      <w:outlineLvl w:val="0"/>
    </w:pPr>
    <w:rPr>
      <w:rFonts w:ascii="Times New Roman" w:hAnsi="Times New Roman" w:eastAsia="宋体" w:cs="Calibri"/>
      <w:b/>
      <w:bCs/>
      <w:snapToGrid w:val="0"/>
      <w:color w:val="000000"/>
      <w:kern w:val="44"/>
      <w:sz w:val="30"/>
      <w:szCs w:val="44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="50" w:beforeLines="50" w:after="50" w:afterLines="50" w:line="360" w:lineRule="auto"/>
      <w:ind w:firstLine="0" w:firstLineChars="0"/>
      <w:jc w:val="left"/>
      <w:outlineLvl w:val="1"/>
    </w:pPr>
    <w:rPr>
      <w:rFonts w:ascii="Times New Roman" w:hAnsi="Times New Roman" w:eastAsia="仿宋" w:cs="Arial"/>
      <w:snapToGrid w:val="0"/>
      <w:color w:val="000000"/>
      <w:sz w:val="24"/>
      <w:szCs w:val="2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13" w:lineRule="auto"/>
      <w:ind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3"/>
    </w:pPr>
    <w:rPr>
      <w:rFonts w:ascii="Arial" w:hAnsi="Arial" w:eastAsia="黑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Calibri"/>
      <w:b/>
      <w:bCs/>
      <w:snapToGrid w:val="0"/>
      <w:color w:val="000000"/>
      <w:kern w:val="44"/>
      <w:sz w:val="44"/>
      <w:szCs w:val="44"/>
      <w:lang w:val="en-US" w:eastAsia="en-US" w:bidi="ar-SA"/>
    </w:rPr>
  </w:style>
  <w:style w:type="character" w:customStyle="1" w:styleId="12">
    <w:name w:val="标题 2 Char"/>
    <w:basedOn w:val="10"/>
    <w:link w:val="3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24"/>
      <w:szCs w:val="22"/>
      <w:lang w:eastAsia="en-US"/>
    </w:rPr>
  </w:style>
  <w:style w:type="paragraph" w:customStyle="1" w:styleId="13">
    <w:name w:val="表题栏"/>
    <w:basedOn w:val="1"/>
    <w:qFormat/>
    <w:uiPriority w:val="0"/>
    <w:pPr>
      <w:spacing w:before="50" w:beforeLines="50" w:after="50" w:afterLines="50" w:line="360" w:lineRule="auto"/>
      <w:jc w:val="center"/>
    </w:pPr>
    <w:rPr>
      <w:rFonts w:ascii="Times New Roman" w:hAnsi="Times New Roman" w:eastAsia="宋体" w:cs="Times New Roman"/>
      <w:b/>
      <w:sz w:val="28"/>
      <w:szCs w:val="22"/>
    </w:rPr>
  </w:style>
  <w:style w:type="paragraph" w:customStyle="1" w:styleId="14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basedOn w:val="1"/>
    <w:next w:val="1"/>
    <w:qFormat/>
    <w:uiPriority w:val="0"/>
    <w:pPr>
      <w:snapToGrid w:val="0"/>
      <w:spacing w:line="480" w:lineRule="exact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2020-05-29T08:25:00Z</dcterms:created>
  <dc:creator>31587</dc:creator>
  <cp:lastModifiedBy>隔着幸福的海岸线</cp:lastModifiedBy>
  <dcterms:modified xsi:type="dcterms:W3CDTF">2023-05-18T06:46:45Z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